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50" w:rsidRDefault="00F23450" w:rsidP="00F23450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993366"/>
          <w:sz w:val="40"/>
          <w:szCs w:val="40"/>
        </w:rPr>
        <w:t>L’ordinamento Giuridico</w:t>
      </w:r>
    </w:p>
    <w:p w:rsidR="00F23450" w:rsidRDefault="00F23450" w:rsidP="00F23450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norme giuridiche ed il diritto</w:t>
      </w:r>
    </w:p>
    <w:p w:rsidR="00F23450" w:rsidRDefault="00F23450" w:rsidP="00F23450">
      <w:pPr>
        <w:jc w:val="both"/>
      </w:pPr>
      <w:r>
        <w:t>Il diritto ha sempre costituito uno strumento di aggregazione e crescita dei popoli che, in quanto collettività necessitano di regole che ne disciplinino il loro interagire.</w:t>
      </w:r>
    </w:p>
    <w:p w:rsidR="00F23450" w:rsidRDefault="00F23450" w:rsidP="00F23450">
      <w:pPr>
        <w:jc w:val="both"/>
      </w:pPr>
      <w:r>
        <w:rPr>
          <w:u w:val="single"/>
        </w:rPr>
        <w:t>Regola</w:t>
      </w:r>
      <w:r>
        <w:t>=</w:t>
      </w:r>
      <w:r>
        <w:rPr>
          <w:u w:val="single"/>
        </w:rPr>
        <w:t>messaggio prescrittivo</w:t>
      </w:r>
      <w:r>
        <w:t xml:space="preserve"> </w:t>
      </w:r>
      <w:r>
        <w:rPr>
          <w:i/>
          <w:iCs/>
        </w:rPr>
        <w:t>imperativo</w:t>
      </w:r>
      <w:r>
        <w:t xml:space="preserve"> o una </w:t>
      </w:r>
      <w:r>
        <w:rPr>
          <w:i/>
          <w:iCs/>
        </w:rPr>
        <w:t>qualificazione di comportamento</w:t>
      </w:r>
      <w:r>
        <w:t xml:space="preserve"> che può essere: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Individuale</w:t>
      </w:r>
      <w:r>
        <w:t>: riguarda il comportamento di un individuo (o più individui determinati)</w:t>
      </w:r>
    </w:p>
    <w:p w:rsidR="00F23450" w:rsidRDefault="00F23450" w:rsidP="00F23450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generale</w:t>
      </w:r>
      <w:r>
        <w:t>: riguarda il comportamento di chiunque si trovi in una determinata situazione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concreta</w:t>
      </w:r>
      <w:r>
        <w:t>: la prescrizione vale in una o più situazioni concretamente determinate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astratta</w:t>
      </w:r>
      <w:r>
        <w:t>: la prescrizione vale in ogni situazione che sia uguale a quella prevista (compravendita)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rPr>
          <w:b/>
          <w:bCs/>
        </w:rPr>
        <w:t>Regole di diritto:</w:t>
      </w:r>
      <w:r>
        <w:t xml:space="preserve"> sono le regole che prescrivono in modo </w:t>
      </w:r>
      <w:r>
        <w:rPr>
          <w:u w:val="single"/>
        </w:rPr>
        <w:t>generale</w:t>
      </w:r>
      <w:r>
        <w:t xml:space="preserve"> ed </w:t>
      </w:r>
      <w:r>
        <w:rPr>
          <w:u w:val="single"/>
        </w:rPr>
        <w:t>astratto</w:t>
      </w:r>
      <w:r>
        <w:t xml:space="preserve"> ciò che si deve fare </w:t>
      </w:r>
      <w:r>
        <w:rPr>
          <w:i/>
          <w:iCs/>
        </w:rPr>
        <w:t>in ogni situazione corrispondente alla situazione tipo</w:t>
      </w:r>
      <w:r>
        <w:t xml:space="preserve"> (prevista dalle regole stesse)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>Sinonimo di regola è norma, si distingue: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regola/norma prescrittiva</w:t>
      </w:r>
      <w:r>
        <w:t xml:space="preserve">: la regola di diritto è la </w:t>
      </w:r>
      <w:r>
        <w:rPr>
          <w:b/>
          <w:bCs/>
        </w:rPr>
        <w:t>norma giuridica</w:t>
      </w:r>
      <w:r>
        <w:t xml:space="preserve"> è caratterizzata dal precetto che il soggetto deve osservare e dalla sanzione è prevista astrattamente e che è imposta concretamente mediante strumenti coercitivi (la norma è resa efficace da una regola strumentale che prevede conseguenze negative)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regola/norma descrittiva</w:t>
      </w:r>
      <w:r>
        <w:t xml:space="preserve">: ad esempio le </w:t>
      </w:r>
      <w:r>
        <w:rPr>
          <w:b/>
          <w:bCs/>
        </w:rPr>
        <w:t>norme morali</w:t>
      </w:r>
      <w:r>
        <w:t>, l’osservanza è frutto di adesione spontanea, l’eventuale inosservanza agisce sul piano della coscienza o delle relazioni sociali.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 xml:space="preserve">Le norme giuridiche quindi come le regole di diritto hanno carattere generale ed astratto, il carattere dell’astrattezza comporta che la norma non deve essere dettata per singole situazioni concrete ma per </w:t>
      </w:r>
      <w:r>
        <w:rPr>
          <w:b/>
          <w:bCs/>
        </w:rPr>
        <w:t>fattispecie</w:t>
      </w:r>
      <w:r>
        <w:t>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i/>
          <w:iCs/>
        </w:rPr>
        <w:t>fattispecie astratta</w:t>
      </w:r>
      <w:r>
        <w:t>: situazione tipo descritta dalla norma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i/>
          <w:iCs/>
        </w:rPr>
        <w:t>fattispecie concreta</w:t>
      </w:r>
      <w:r>
        <w:t>: situazione pratica in cui la regola si applica</w:t>
      </w:r>
    </w:p>
    <w:p w:rsidR="00F23450" w:rsidRDefault="00F23450" w:rsidP="00F23450">
      <w:pPr>
        <w:jc w:val="both"/>
      </w:pPr>
      <w:r>
        <w:t xml:space="preserve">Il carattere di astrattezza discende dal </w:t>
      </w:r>
      <w:r>
        <w:rPr>
          <w:b/>
          <w:bCs/>
        </w:rPr>
        <w:t>principio di uguaglianza</w:t>
      </w:r>
      <w:r>
        <w:t xml:space="preserve"> che è affermato dall’</w:t>
      </w:r>
      <w:r>
        <w:rPr>
          <w:i/>
          <w:iCs/>
        </w:rPr>
        <w:t>art. 3 della costituzione</w:t>
      </w:r>
      <w:r>
        <w:t>.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  <w:rPr>
          <w:u w:val="single"/>
        </w:rPr>
      </w:pPr>
      <w:r>
        <w:rPr>
          <w:u w:val="single"/>
        </w:rPr>
        <w:t>Le norme non sono indipendenti l’una dalle altre ma sono connesse in un sistema normativo unitario = L’ordinamento giuridico.</w:t>
      </w:r>
    </w:p>
    <w:p w:rsidR="00F23450" w:rsidRDefault="00F23450" w:rsidP="00F23450">
      <w:pPr>
        <w:jc w:val="both"/>
      </w:pPr>
      <w:r>
        <w:rPr>
          <w:b/>
          <w:bCs/>
        </w:rPr>
        <w:t>L’unitarietà</w:t>
      </w:r>
      <w:r>
        <w:t xml:space="preserve"> ha lo scopo di garantire la certezza del diritto = la possibilità di chiunque di conoscere con sicurezza i dettami normativi.</w:t>
      </w:r>
    </w:p>
    <w:p w:rsidR="00F23450" w:rsidRDefault="00F23450" w:rsidP="00F23450">
      <w:pPr>
        <w:jc w:val="both"/>
      </w:pPr>
      <w:r>
        <w:t>Per l’ordinamento dello Stato il diritto è solo il diritto Stato, il diritto di altri stati sono solo fatti</w:t>
      </w:r>
    </w:p>
    <w:p w:rsidR="00F23450" w:rsidRDefault="00F23450" w:rsidP="00F23450">
      <w:pPr>
        <w:jc w:val="both"/>
      </w:pPr>
      <w:r>
        <w:t>Il diritto internazionale, che regola il rapporto tra gli stati ha proprie fonti e proprie norme che ogni stato, in quanto membro della comunità internazionale, è tenuto a rispettare.</w:t>
      </w:r>
    </w:p>
    <w:p w:rsidR="00F23450" w:rsidRDefault="00F23450" w:rsidP="00F23450">
      <w:pPr>
        <w:jc w:val="both"/>
      </w:pPr>
      <w:r>
        <w:t>In relazione alla pluralità degli ordinamenti (nazionale, internazionale etc) emerge il concetto di relatività, in quanto ciò che può essere illecito a livello internazionale può essere lecito a livello nazionale.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 xml:space="preserve">La </w:t>
      </w:r>
      <w:r>
        <w:rPr>
          <w:b/>
          <w:bCs/>
        </w:rPr>
        <w:t>relatività</w:t>
      </w:r>
      <w:r>
        <w:t xml:space="preserve"> ci fa distingue tra: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diritto positivo: diritto come effettivamente è in un ordinamento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diritto naturale: diritto ricavato dalla morale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>Una distinzione invece esaustiva (che non lascia spazi vuoti) è quella tra: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 xml:space="preserve">diritto pubblico: </w:t>
      </w:r>
      <w:r>
        <w:tab/>
        <w:t xml:space="preserve">regole che disciplinano l’attività dello stato ed enti pubblici </w:t>
      </w:r>
    </w:p>
    <w:p w:rsidR="00F23450" w:rsidRDefault="00F23450" w:rsidP="00F23450">
      <w:pPr>
        <w:ind w:left="2832"/>
        <w:jc w:val="both"/>
      </w:pPr>
      <w:r>
        <w:t xml:space="preserve">essendo portatori di </w:t>
      </w:r>
      <w:r>
        <w:rPr>
          <w:u w:val="single"/>
        </w:rPr>
        <w:t>interessi generali</w:t>
      </w:r>
      <w:r>
        <w:t xml:space="preserve">, sono </w:t>
      </w:r>
      <w:r>
        <w:rPr>
          <w:i/>
          <w:iCs/>
        </w:rPr>
        <w:t>indisponibili</w:t>
      </w:r>
    </w:p>
    <w:p w:rsidR="00F23450" w:rsidRDefault="00F23450" w:rsidP="00F23450">
      <w:pPr>
        <w:ind w:left="2832"/>
        <w:jc w:val="both"/>
      </w:pPr>
      <w:r>
        <w:t xml:space="preserve">quindi le norme sono </w:t>
      </w:r>
      <w:r>
        <w:rPr>
          <w:u w:val="single"/>
        </w:rPr>
        <w:t>sempre inderogabili</w:t>
      </w:r>
      <w:r>
        <w:t xml:space="preserve"> (irrilevante la volontà dei destinatari del comando)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lastRenderedPageBreak/>
        <w:t>diritto privato</w:t>
      </w:r>
      <w:r>
        <w:t xml:space="preserve">: </w:t>
      </w:r>
      <w:r>
        <w:tab/>
        <w:t>regole che disciplinano l’attività dei privati</w:t>
      </w:r>
    </w:p>
    <w:p w:rsidR="00F23450" w:rsidRDefault="00F23450" w:rsidP="00F23450">
      <w:pPr>
        <w:ind w:left="2832"/>
        <w:jc w:val="both"/>
        <w:rPr>
          <w:i/>
          <w:iCs/>
        </w:rPr>
      </w:pPr>
      <w:r>
        <w:t xml:space="preserve">essendo portatori di </w:t>
      </w:r>
      <w:r>
        <w:rPr>
          <w:u w:val="single"/>
        </w:rPr>
        <w:t>interessi particolari</w:t>
      </w:r>
      <w:r>
        <w:t xml:space="preserve"> sono </w:t>
      </w:r>
      <w:r>
        <w:rPr>
          <w:i/>
          <w:iCs/>
        </w:rPr>
        <w:t>disponibili</w:t>
      </w:r>
    </w:p>
    <w:p w:rsidR="00F23450" w:rsidRDefault="00F23450" w:rsidP="00F23450">
      <w:pPr>
        <w:ind w:left="2832"/>
        <w:jc w:val="both"/>
      </w:pPr>
      <w:r>
        <w:t xml:space="preserve">quindi le norme possono essere </w:t>
      </w:r>
      <w:r>
        <w:rPr>
          <w:u w:val="single"/>
        </w:rPr>
        <w:t>inderogabili ed derogabili</w:t>
      </w:r>
      <w:r>
        <w:t xml:space="preserve"> (vi è concreta applicazione delle norme solo in presenza di una non difforme manifestazione di volontà dei privati o in caso di una lacuna regolamentare)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>In caso di violazione della norma l’</w:t>
      </w:r>
      <w:r>
        <w:rPr>
          <w:i/>
          <w:iCs/>
          <w:u w:val="single"/>
        </w:rPr>
        <w:t>iniziativa sanzionatoria</w:t>
      </w:r>
      <w:r>
        <w:t xml:space="preserve"> si comporta in maniera diversa: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norma inderogabile di diritto pubblico</w:t>
      </w:r>
      <w:r>
        <w:t>: inevitabile applicazione, sanzione comminata per iniziativa dell’autorità pubblica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rPr>
          <w:b/>
          <w:bCs/>
        </w:rPr>
        <w:t>norma inderogabile di diritto privato</w:t>
      </w:r>
      <w:r>
        <w:t>: solo se lo stesso privato richiede al giudice l’applicazione.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fonti normative</w:t>
      </w:r>
    </w:p>
    <w:p w:rsidR="00F23450" w:rsidRDefault="00F23450" w:rsidP="00F23450">
      <w:pPr>
        <w:jc w:val="both"/>
        <w:rPr>
          <w:b/>
          <w:bCs/>
        </w:rPr>
      </w:pPr>
    </w:p>
    <w:p w:rsidR="00F23450" w:rsidRDefault="00F23450" w:rsidP="00F234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Fonti di produzione</w:t>
      </w:r>
    </w:p>
    <w:p w:rsidR="00F23450" w:rsidRDefault="00F23450" w:rsidP="00F23450">
      <w:pPr>
        <w:jc w:val="both"/>
      </w:pPr>
      <w:r>
        <w:t>L’</w:t>
      </w:r>
      <w:r>
        <w:rPr>
          <w:b/>
          <w:bCs/>
        </w:rPr>
        <w:t>art. 1 delle disposizioni preliminari al CC</w:t>
      </w:r>
      <w:r>
        <w:t xml:space="preserve"> (del 1942) elenca le seguenti fonti di diritto: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le leggi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i regolamenti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le norme corporative</w:t>
      </w:r>
    </w:p>
    <w:p w:rsidR="00F23450" w:rsidRDefault="00F23450" w:rsidP="00F23450">
      <w:pPr>
        <w:numPr>
          <w:ilvl w:val="0"/>
          <w:numId w:val="1"/>
        </w:numPr>
        <w:jc w:val="both"/>
      </w:pPr>
      <w:r>
        <w:t>gli usi</w:t>
      </w:r>
    </w:p>
    <w:p w:rsidR="00F23450" w:rsidRDefault="00F23450" w:rsidP="00F23450">
      <w:pPr>
        <w:jc w:val="both"/>
      </w:pPr>
      <w:r>
        <w:t>E’ ancora oggi incompleta in quanto:</w:t>
      </w:r>
    </w:p>
    <w:p w:rsidR="00F23450" w:rsidRDefault="00F23450" w:rsidP="00F23450">
      <w:pPr>
        <w:numPr>
          <w:ilvl w:val="0"/>
          <w:numId w:val="2"/>
        </w:numPr>
        <w:jc w:val="both"/>
      </w:pPr>
      <w:r>
        <w:t xml:space="preserve">il 27/12/47 è stata promulgata la </w:t>
      </w:r>
      <w:r>
        <w:rPr>
          <w:b/>
          <w:bCs/>
        </w:rPr>
        <w:t>Costituzione</w:t>
      </w:r>
      <w:r>
        <w:t xml:space="preserve"> (entrata in vigore il 01/01/48) e da allora è la prima tra le fonti di diritto</w:t>
      </w:r>
    </w:p>
    <w:p w:rsidR="00F23450" w:rsidRDefault="00F23450" w:rsidP="00F23450">
      <w:pPr>
        <w:numPr>
          <w:ilvl w:val="0"/>
          <w:numId w:val="2"/>
        </w:numPr>
        <w:jc w:val="both"/>
      </w:pPr>
      <w:r>
        <w:t xml:space="preserve">l’Italia fa parte della </w:t>
      </w:r>
      <w:r>
        <w:rPr>
          <w:b/>
          <w:bCs/>
        </w:rPr>
        <w:t>Unione Europea</w:t>
      </w:r>
      <w:r>
        <w:t xml:space="preserve"> (nata dalla Comunità Europea), nelle materie previste dal trattato, il Consiglio della Comunità può emanare regolamenti che hanno immediata efficacia nel diritto interno degli stati membri e prevalgono sulle norme statali difformi.</w:t>
      </w:r>
    </w:p>
    <w:p w:rsidR="00F23450" w:rsidRDefault="00F23450" w:rsidP="00F23450">
      <w:pPr>
        <w:numPr>
          <w:ilvl w:val="0"/>
          <w:numId w:val="2"/>
        </w:numPr>
        <w:jc w:val="both"/>
      </w:pPr>
      <w:r>
        <w:t xml:space="preserve">le modifiche alla carta costituzionale in senso </w:t>
      </w:r>
      <w:r>
        <w:rPr>
          <w:b/>
          <w:bCs/>
        </w:rPr>
        <w:t>federale</w:t>
      </w:r>
      <w:r>
        <w:t xml:space="preserve"> hanno attribuito alle Regioni, nelle materie di loro competenza, potestà legislativa.</w:t>
      </w:r>
    </w:p>
    <w:p w:rsidR="00F23450" w:rsidRDefault="00F23450" w:rsidP="00F23450">
      <w:pPr>
        <w:jc w:val="both"/>
      </w:pPr>
    </w:p>
    <w:p w:rsidR="00F23450" w:rsidRDefault="00F23450" w:rsidP="00F23450">
      <w:pPr>
        <w:jc w:val="both"/>
      </w:pPr>
      <w:r>
        <w:t>Quindi le fonti di diritto sono: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Costituzione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Trattato, Regolamenti, Direttive Unione Europea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Leggi statali e regionali (in base alla competenza)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Regolamenti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Norme corporative</w:t>
      </w:r>
    </w:p>
    <w:p w:rsidR="00F23450" w:rsidRDefault="00F23450" w:rsidP="00F2345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Usi</w:t>
      </w:r>
    </w:p>
    <w:p w:rsidR="00F23450" w:rsidRDefault="00F23450" w:rsidP="00F23450">
      <w:pPr>
        <w:jc w:val="both"/>
      </w:pPr>
      <w:r>
        <w:t xml:space="preserve">Queste sono le c.d. </w:t>
      </w:r>
      <w:r>
        <w:rPr>
          <w:b/>
          <w:bCs/>
        </w:rPr>
        <w:t>fonti di produzione</w:t>
      </w:r>
      <w:r>
        <w:t xml:space="preserve"> cioè fonti atte a creare, modificare o estinguere il diritto.</w:t>
      </w:r>
    </w:p>
    <w:p w:rsidR="00F23450" w:rsidRDefault="00F23450" w:rsidP="00F23450">
      <w:pPr>
        <w:jc w:val="both"/>
      </w:pPr>
      <w:r>
        <w:t xml:space="preserve">Il criterio che domina il sistema è quello </w:t>
      </w:r>
      <w:r>
        <w:rPr>
          <w:b/>
          <w:bCs/>
        </w:rPr>
        <w:t>gerarchico</w:t>
      </w:r>
      <w:r>
        <w:t xml:space="preserve"> (nessuna forte può dettare una regola in violazione a quanto disposto da fonti superiori)</w:t>
      </w:r>
    </w:p>
    <w:p w:rsidR="00F23450" w:rsidRDefault="00F23450" w:rsidP="00F23450">
      <w:pPr>
        <w:jc w:val="both"/>
      </w:pPr>
      <w:r>
        <w:t xml:space="preserve">Tale criterio permette di attuare il principio del c.d. </w:t>
      </w:r>
      <w:r>
        <w:rPr>
          <w:b/>
          <w:bCs/>
        </w:rPr>
        <w:t>Stato di Diritto</w:t>
      </w:r>
      <w:r>
        <w:t xml:space="preserve"> in base al quale il legislatore non è libero nell’esercizio della sua funzione in quanto è sottoposto ad un controllo di merito circa la correttezza di quanto statuito (sulla base dei principi fissati dalla fonte superiore)</w:t>
      </w:r>
    </w:p>
    <w:p w:rsidR="006E3FD9" w:rsidRDefault="00F23450">
      <w:bookmarkStart w:id="0" w:name="_GoBack"/>
      <w:bookmarkEnd w:id="0"/>
    </w:p>
    <w:sectPr w:rsidR="006E3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63B"/>
    <w:multiLevelType w:val="hybridMultilevel"/>
    <w:tmpl w:val="105050A0"/>
    <w:lvl w:ilvl="0" w:tplc="7B20D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63"/>
    <w:multiLevelType w:val="hybridMultilevel"/>
    <w:tmpl w:val="E01E6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7586A"/>
    <w:multiLevelType w:val="hybridMultilevel"/>
    <w:tmpl w:val="240E9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A5"/>
    <w:rsid w:val="00274A2B"/>
    <w:rsid w:val="003F2FA5"/>
    <w:rsid w:val="0077241D"/>
    <w:rsid w:val="0079158D"/>
    <w:rsid w:val="00A83344"/>
    <w:rsid w:val="00B94AEA"/>
    <w:rsid w:val="00C33384"/>
    <w:rsid w:val="00D74539"/>
    <w:rsid w:val="00E516D5"/>
    <w:rsid w:val="00F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995B-6D03-42DC-B59F-999DC0C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Scalabrino</dc:creator>
  <cp:keywords/>
  <dc:description/>
  <cp:lastModifiedBy>Massimiliano Scalabrino</cp:lastModifiedBy>
  <cp:revision>2</cp:revision>
  <dcterms:created xsi:type="dcterms:W3CDTF">2018-05-07T10:05:00Z</dcterms:created>
  <dcterms:modified xsi:type="dcterms:W3CDTF">2018-05-07T10:05:00Z</dcterms:modified>
</cp:coreProperties>
</file>